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463"/>
        <w:gridCol w:w="425"/>
        <w:gridCol w:w="344"/>
        <w:gridCol w:w="42"/>
        <w:gridCol w:w="39"/>
        <w:gridCol w:w="887"/>
        <w:gridCol w:w="88"/>
        <w:gridCol w:w="159"/>
        <w:gridCol w:w="567"/>
        <w:gridCol w:w="706"/>
        <w:gridCol w:w="570"/>
        <w:gridCol w:w="142"/>
        <w:gridCol w:w="618"/>
      </w:tblGrid>
      <w:tr w:rsidR="0023305F" w:rsidRPr="00D0566D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3305F" w:rsidRPr="00D0566D" w:rsidRDefault="0023305F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OPOREZIVANJE DOHOTKA</w:t>
            </w:r>
          </w:p>
        </w:tc>
      </w:tr>
      <w:tr w:rsidR="0023305F" w:rsidRPr="00D0566D" w:rsidTr="0023305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bCs w:val="0"/>
                <w:sz w:val="20"/>
                <w:szCs w:val="20"/>
              </w:rPr>
            </w:pPr>
            <w:r w:rsidRPr="00D0566D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3305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ECS412</w:t>
            </w:r>
          </w:p>
        </w:tc>
        <w:tc>
          <w:tcPr>
            <w:tcW w:w="2288" w:type="dxa"/>
            <w:gridSpan w:val="7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3305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E71BBF" w:rsidTr="0023305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E71BBF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71BBF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E71BBF" w:rsidRDefault="006C1A85" w:rsidP="0023305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71BBF">
              <w:rPr>
                <w:rFonts w:ascii="Arial" w:hAnsi="Arial" w:cs="Arial"/>
                <w:sz w:val="20"/>
                <w:szCs w:val="20"/>
              </w:rPr>
              <w:t>Mr. sc. Renko Letnić</w:t>
            </w:r>
          </w:p>
        </w:tc>
        <w:tc>
          <w:tcPr>
            <w:tcW w:w="2288" w:type="dxa"/>
            <w:gridSpan w:val="7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E71BBF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71BBF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E71BBF" w:rsidRDefault="0023305F" w:rsidP="0023305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71BBF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23305F" w:rsidRPr="00D0566D" w:rsidTr="0023305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3CBB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3305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7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305F" w:rsidRPr="00D0566D" w:rsidRDefault="0023305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305F" w:rsidRPr="00D0566D" w:rsidRDefault="0023305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305F" w:rsidRPr="00D0566D" w:rsidRDefault="0023305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23305F" w:rsidRPr="00D0566D" w:rsidTr="0023305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3305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7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3305F" w:rsidRPr="00D0566D" w:rsidTr="0023305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3305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Obvezan</w:t>
            </w:r>
          </w:p>
        </w:tc>
        <w:tc>
          <w:tcPr>
            <w:tcW w:w="2288" w:type="dxa"/>
            <w:gridSpan w:val="7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3E3CBB" w:rsidRDefault="003E3CBB" w:rsidP="0023305F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  <w:highlight w:val="yellow"/>
              </w:rPr>
            </w:pPr>
            <w:r w:rsidRPr="003E3CBB">
              <w:rPr>
                <w:rFonts w:ascii="Times New Roman" w:hAnsi="Times New Roman" w:cs="Arial"/>
                <w:color w:val="FF0000"/>
                <w:sz w:val="20"/>
                <w:szCs w:val="20"/>
              </w:rPr>
              <w:t>1</w:t>
            </w:r>
            <w:r w:rsidR="0023305F" w:rsidRPr="003E3CBB">
              <w:rPr>
                <w:rFonts w:ascii="Times New Roman" w:hAnsi="Times New Roman" w:cs="Arial"/>
                <w:color w:val="FF0000"/>
                <w:sz w:val="20"/>
                <w:szCs w:val="20"/>
              </w:rPr>
              <w:t>5%</w:t>
            </w:r>
          </w:p>
        </w:tc>
      </w:tr>
      <w:tr w:rsidR="0023305F" w:rsidRPr="00D0566D" w:rsidTr="002F2292">
        <w:tc>
          <w:tcPr>
            <w:tcW w:w="9464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23305F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F2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Usvajanje teorijskog i praktičnog znanje iz područja oporezivanja dohotka u Republici Hrvatskoj i primjena stečenog znanja u poslovima gdje je potrebno znanje iz područja oporezivanja dohotka</w:t>
            </w:r>
          </w:p>
        </w:tc>
      </w:tr>
      <w:tr w:rsidR="0023305F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color w:val="FF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Poznavanje temelja poreznog sustava u Republici Hrvatskoj</w:t>
            </w:r>
          </w:p>
          <w:p w:rsidR="0023305F" w:rsidRPr="00D0566D" w:rsidRDefault="0023305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3305F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1371BF" w:rsidRDefault="0023305F" w:rsidP="001371BF">
            <w:pPr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1371BF">
              <w:rPr>
                <w:rFonts w:ascii="Times New Roman" w:hAnsi="Times New Roman" w:cs="Arial"/>
                <w:color w:val="000000"/>
                <w:sz w:val="20"/>
                <w:szCs w:val="20"/>
              </w:rPr>
              <w:t>Ishod učenja predmeta:</w:t>
            </w:r>
          </w:p>
          <w:p w:rsidR="0023305F" w:rsidRDefault="0023305F" w:rsidP="001371BF">
            <w:pPr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 xml:space="preserve">Utvrditi vrstu dohotka u Republici Hrvatskoj. </w:t>
            </w:r>
          </w:p>
          <w:p w:rsidR="001371BF" w:rsidRPr="00D0566D" w:rsidRDefault="001371BF" w:rsidP="001371BF">
            <w:pPr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</w:p>
          <w:p w:rsidR="0023305F" w:rsidRPr="00D0566D" w:rsidRDefault="0023305F" w:rsidP="001371BF">
            <w:pPr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Pojedinačni ishodi učenja:</w:t>
            </w:r>
          </w:p>
          <w:p w:rsidR="0023305F" w:rsidRPr="00D0566D" w:rsidRDefault="0023305F" w:rsidP="0023305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Zaključiti o načinu oporezivanja dohotka u Republici Hrvatskoj</w:t>
            </w:r>
            <w:r w:rsidR="001371BF">
              <w:rPr>
                <w:rFonts w:ascii="Times New Roman" w:hAnsi="Times New Roman" w:cs="Arial"/>
                <w:bCs/>
                <w:sz w:val="20"/>
                <w:szCs w:val="20"/>
              </w:rPr>
              <w:t>.</w:t>
            </w: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</w:p>
          <w:p w:rsidR="001371BF" w:rsidRDefault="0023305F" w:rsidP="0023305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1371BF">
              <w:rPr>
                <w:rFonts w:ascii="Times New Roman" w:hAnsi="Times New Roman" w:cs="Arial"/>
                <w:bCs/>
                <w:sz w:val="20"/>
                <w:szCs w:val="20"/>
              </w:rPr>
              <w:t>Izmjeriti porez i prirez ovisno o vrsti dohotka</w:t>
            </w:r>
            <w:r w:rsidR="001371BF">
              <w:rPr>
                <w:rFonts w:ascii="Times New Roman" w:hAnsi="Times New Roman" w:cs="Arial"/>
                <w:bCs/>
                <w:sz w:val="20"/>
                <w:szCs w:val="20"/>
              </w:rPr>
              <w:t>.</w:t>
            </w:r>
            <w:r w:rsidRPr="001371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</w:p>
          <w:p w:rsidR="001371BF" w:rsidRDefault="0023305F" w:rsidP="0023305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1371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Pripremiti obračun plaće i sve potrebne obrasce za predaju Poreznoj </w:t>
            </w:r>
            <w:r w:rsidR="001371BF">
              <w:rPr>
                <w:rFonts w:ascii="Times New Roman" w:hAnsi="Times New Roman" w:cs="Arial"/>
                <w:bCs/>
                <w:sz w:val="20"/>
                <w:szCs w:val="20"/>
              </w:rPr>
              <w:t>u</w:t>
            </w:r>
            <w:r w:rsidRPr="001371BF">
              <w:rPr>
                <w:rFonts w:ascii="Times New Roman" w:hAnsi="Times New Roman" w:cs="Arial"/>
                <w:bCs/>
                <w:sz w:val="20"/>
                <w:szCs w:val="20"/>
              </w:rPr>
              <w:t>pravi</w:t>
            </w:r>
            <w:r w:rsidR="001371BF" w:rsidRPr="001371BF">
              <w:rPr>
                <w:rFonts w:ascii="Times New Roman" w:hAnsi="Times New Roman" w:cs="Arial"/>
                <w:bCs/>
                <w:sz w:val="20"/>
                <w:szCs w:val="20"/>
              </w:rPr>
              <w:t>.</w:t>
            </w:r>
          </w:p>
          <w:p w:rsidR="0023305F" w:rsidRPr="001371BF" w:rsidRDefault="0023305F" w:rsidP="0023305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1371BF">
              <w:rPr>
                <w:rFonts w:ascii="Times New Roman" w:hAnsi="Times New Roman" w:cs="Arial"/>
                <w:bCs/>
                <w:sz w:val="20"/>
                <w:szCs w:val="20"/>
              </w:rPr>
              <w:t>Pripremiti porezna izvješća iz područja dohotka</w:t>
            </w:r>
            <w:r w:rsidR="001371BF">
              <w:rPr>
                <w:rFonts w:ascii="Times New Roman" w:hAnsi="Times New Roman" w:cs="Arial"/>
                <w:bCs/>
                <w:sz w:val="20"/>
                <w:szCs w:val="20"/>
              </w:rPr>
              <w:t>.</w:t>
            </w:r>
          </w:p>
          <w:p w:rsidR="0023305F" w:rsidRPr="00D0566D" w:rsidRDefault="0023305F" w:rsidP="001371B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Prosuditi o isplativosti godišnje porezne prijave</w:t>
            </w:r>
            <w:r w:rsidR="001371BF">
              <w:rPr>
                <w:rFonts w:ascii="Times New Roman" w:hAnsi="Times New Roman" w:cs="Arial"/>
                <w:bCs/>
                <w:sz w:val="20"/>
                <w:szCs w:val="20"/>
              </w:rPr>
              <w:t>.</w:t>
            </w:r>
          </w:p>
        </w:tc>
      </w:tr>
      <w:tr w:rsidR="0023305F" w:rsidRPr="00D0566D" w:rsidTr="002F2292">
        <w:trPr>
          <w:trHeight w:val="387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3776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Predavanja</w:t>
            </w:r>
          </w:p>
        </w:tc>
        <w:tc>
          <w:tcPr>
            <w:tcW w:w="3776" w:type="dxa"/>
            <w:gridSpan w:val="9"/>
            <w:tcBorders>
              <w:right w:val="single" w:sz="12" w:space="0" w:color="auto"/>
            </w:tcBorders>
            <w:vAlign w:val="center"/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Vježbe</w:t>
            </w:r>
          </w:p>
        </w:tc>
      </w:tr>
      <w:tr w:rsidR="0023305F" w:rsidRPr="00D0566D" w:rsidTr="002F2292">
        <w:trPr>
          <w:trHeight w:val="24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  <w:vAlign w:val="center"/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  <w:vAlign w:val="center"/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  <w:vAlign w:val="center"/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6" w:hanging="283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Vrste dohotka i pregled zakonskih okvira koji reguliraju područje dohotka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Vrste dohotka i pregled zakonskih okvira koji reguliraju područje dohotka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plaće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plaće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Dohodak od nesamostalnog rada i primjena osobnih odbitaka kod obračuna plaće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Dohodak od nesamostalnog rada i primjena osobnih odbitaka kod obračuna plaće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Obračun plaća kod neredovitih isplata plaća 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Obračun plaća kod neredovitih isplata plaća 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plaća i izrada poreznih prijava u specifičnim okolnostima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plaća i izrada poreznih prijava u specifičnim okolnostima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Izrada konačnog obračuna plaća i pripadajućih poreznih prijava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Izrada konačnog obračuna plaća i pripadajućih poreznih prijava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Utvrđivanje i obračun dohotka od osiguranja i imovine i imovinskih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Utvrđivanje i obračun dohotka od osiguranja i imovine i imovinskih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dohotka od osiguranja i imovine i imovinskih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dohotka od osiguranja i imovine i imovinskih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Paušalno oporezivanje dohotka od imovine 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Paušalno oporezivanje dohotka od imovine 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i utvrđivanje dohotka od kapitala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i utvrđivanje dohotka od kapitala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drugog dohotka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drugog dohotka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autorskih naknada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Obračun autorskih naknada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Izvješće i izrada izvješća o drugom dohotku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Izvješće i izrada izvješća o drugom dohotku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Godišnja porezna prijava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Godišnja porezna prijava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3305F">
            <w:pPr>
              <w:numPr>
                <w:ilvl w:val="0"/>
                <w:numId w:val="4"/>
              </w:numPr>
              <w:spacing w:after="0" w:line="240" w:lineRule="auto"/>
              <w:ind w:left="356" w:hanging="287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Utvrđivanje godišnjeg poreza na dohodak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7"/>
            <w:tcBorders>
              <w:right w:val="single" w:sz="12" w:space="0" w:color="auto"/>
            </w:tcBorders>
          </w:tcPr>
          <w:p w:rsidR="0023305F" w:rsidRPr="00D0566D" w:rsidRDefault="0023305F" w:rsidP="0023305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Utvrđivanje godišnjeg poreza na dohodak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:rsidR="0023305F" w:rsidRPr="00D0566D" w:rsidRDefault="0023305F" w:rsidP="002F229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3305F" w:rsidRPr="00D0566D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3305F" w:rsidRPr="00D0566D" w:rsidRDefault="0023305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1"/>
            <w:vMerge w:val="restart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3305F" w:rsidRPr="00D0566D" w:rsidRDefault="0023305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485838"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485838" w:rsidRPr="00D0566D">
              <w:rPr>
                <w:rFonts w:ascii="Times New Roman" w:hAnsi="Times New Roman" w:cs="Arial"/>
                <w:sz w:val="20"/>
                <w:szCs w:val="20"/>
              </w:rPr>
            </w:r>
            <w:r w:rsidR="00485838"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="00485838"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3305F" w:rsidRPr="00D0566D" w:rsidTr="002F229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1"/>
            <w:vMerge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23305F" w:rsidRPr="00D0566D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1371BF" w:rsidRDefault="003E3CBB" w:rsidP="003E3CB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Uvjet za ostvarenje prava na potpis je r</w:t>
            </w:r>
            <w:r w:rsidRPr="00B241A4">
              <w:rPr>
                <w:rFonts w:ascii="Arial" w:hAnsi="Arial" w:cs="Arial"/>
                <w:sz w:val="20"/>
                <w:szCs w:val="20"/>
              </w:rPr>
              <w:t>edovito pohađanje nastave</w:t>
            </w:r>
            <w:r>
              <w:rPr>
                <w:rFonts w:ascii="Arial" w:hAnsi="Arial" w:cs="Arial"/>
                <w:sz w:val="20"/>
                <w:szCs w:val="20"/>
              </w:rPr>
              <w:t xml:space="preserve"> – za redovne studente: 7</w:t>
            </w:r>
            <w:r w:rsidRPr="00B241A4">
              <w:rPr>
                <w:rFonts w:ascii="Arial" w:hAnsi="Arial" w:cs="Arial"/>
                <w:sz w:val="20"/>
                <w:szCs w:val="20"/>
              </w:rPr>
              <w:t>0% prisustvovanja na predavanjima i vježbama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CB4EBC">
              <w:rPr>
                <w:rFonts w:ascii="Arial" w:hAnsi="Arial" w:cs="Arial"/>
                <w:color w:val="FF0000"/>
                <w:sz w:val="20"/>
                <w:szCs w:val="20"/>
              </w:rPr>
              <w:t>za izvanredne studente 50% prisustvovanja na predavanjima i vježbam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a.</w:t>
            </w:r>
          </w:p>
        </w:tc>
      </w:tr>
      <w:tr w:rsidR="0023305F" w:rsidRPr="00D0566D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5A18EE" w:rsidRDefault="005A18EE" w:rsidP="002F2292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r w:rsidRPr="005A18EE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23305F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3"/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23305F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3305F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3"/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23305F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3305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3305F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3305F" w:rsidRPr="005A18EE" w:rsidRDefault="005A18EE" w:rsidP="002F2292">
            <w:pPr>
              <w:pStyle w:val="FieldText"/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</w:pPr>
            <w:r w:rsidRPr="005A18EE">
              <w:rPr>
                <w:rFonts w:cs="Arial"/>
                <w:b w:val="0"/>
                <w:color w:val="FF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3"/>
            <w:tcMar>
              <w:left w:w="57" w:type="dxa"/>
              <w:right w:w="57" w:type="dxa"/>
            </w:tcMar>
            <w:vAlign w:val="center"/>
          </w:tcPr>
          <w:p w:rsidR="0023305F" w:rsidRPr="005A18EE" w:rsidRDefault="005A18EE" w:rsidP="005A18EE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5A18EE">
              <w:rPr>
                <w:rFonts w:ascii="Times New Roman" w:hAnsi="Times New Roman" w:cs="Arial"/>
                <w:color w:val="FF0000"/>
                <w:sz w:val="20"/>
                <w:szCs w:val="20"/>
              </w:rPr>
              <w:t>2,5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23305F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3305F" w:rsidRPr="00D0566D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5A18EE" w:rsidRDefault="0023305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  <w:highlight w:val="yellow"/>
              </w:rPr>
            </w:pPr>
            <w:r w:rsidRPr="005A18EE">
              <w:rPr>
                <w:rFonts w:ascii="Times New Roman" w:hAnsi="Times New Roman" w:cs="Arial"/>
                <w:color w:val="FF0000"/>
                <w:sz w:val="20"/>
                <w:szCs w:val="20"/>
              </w:rPr>
              <w:t>2</w:t>
            </w:r>
            <w:r w:rsidR="005A18EE" w:rsidRPr="005A18EE">
              <w:rPr>
                <w:rFonts w:ascii="Times New Roman" w:hAnsi="Times New Roman" w:cs="Arial"/>
                <w:color w:val="FF0000"/>
                <w:sz w:val="20"/>
                <w:szCs w:val="20"/>
              </w:rPr>
              <w:t>,5</w:t>
            </w:r>
          </w:p>
        </w:tc>
        <w:tc>
          <w:tcPr>
            <w:tcW w:w="127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23305F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305F" w:rsidRPr="00D0566D" w:rsidRDefault="0048583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3305F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3CBB" w:rsidRPr="00EB43E2" w:rsidRDefault="003E3CBB" w:rsidP="003E3C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E3CBB">
              <w:rPr>
                <w:rFonts w:ascii="Arial" w:hAnsi="Arial" w:cs="Arial"/>
                <w:color w:val="FF0000"/>
                <w:sz w:val="20"/>
                <w:szCs w:val="20"/>
              </w:rPr>
              <w:t>Tijekom semestra održat će se pisane provjere znanja putem dva kolokvija. Oba kolokvija nose 100% od ukupne ocjene i sastoje se od teorijskih pitanja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i numeričkih zadataka</w:t>
            </w:r>
            <w:r w:rsidRPr="003E3CBB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B43E2">
              <w:rPr>
                <w:rFonts w:ascii="Arial" w:hAnsi="Arial" w:cs="Arial"/>
                <w:color w:val="FF0000"/>
                <w:sz w:val="20"/>
                <w:szCs w:val="20"/>
              </w:rPr>
              <w:t xml:space="preserve">Kolokvij je položen ukoliko je ostvareno 60% ukupnog broja bodova. Studenti koji polože oba kolokvija, položili su ispit. Konačna ocjena formira se kao prosjek postignutih bodova na oba kolokvija. </w:t>
            </w:r>
          </w:p>
          <w:p w:rsidR="003E3CBB" w:rsidRPr="00EB43E2" w:rsidRDefault="003E3CBB" w:rsidP="003E3C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3E3CBB" w:rsidRPr="007F27FF" w:rsidRDefault="003E3CBB" w:rsidP="003E3C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3E3CBB" w:rsidRPr="007F27FF" w:rsidRDefault="003E3CBB" w:rsidP="003E3C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0-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9      nedovoljan (1)</w:t>
            </w:r>
          </w:p>
          <w:p w:rsidR="003E3CBB" w:rsidRPr="007F27FF" w:rsidRDefault="003E3CBB" w:rsidP="003E3C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-6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3E3CBB" w:rsidRPr="007F27FF" w:rsidRDefault="003E3CBB" w:rsidP="003E3C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-7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3E3CBB" w:rsidRPr="007F27FF" w:rsidRDefault="003E3CBB" w:rsidP="003E3C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-8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3E3CBB" w:rsidRDefault="003E3CBB" w:rsidP="003E3C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3E3CBB" w:rsidRDefault="003E3CBB" w:rsidP="003E3C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E3CBB" w:rsidRDefault="003E3CBB" w:rsidP="003E3C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Završni i</w:t>
            </w:r>
            <w:r w:rsidRPr="006D460E">
              <w:rPr>
                <w:rFonts w:ascii="Arial" w:hAnsi="Arial" w:cs="Arial"/>
                <w:color w:val="FF0000"/>
                <w:sz w:val="20"/>
                <w:szCs w:val="20"/>
              </w:rPr>
              <w:t xml:space="preserve">spit se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sastoji od pisanog i usmenog dijela. Usmenom dijelu može pristupiti student koji je ostvario minimalno 60% bodova na pisanom dijelu ispita. Konačna ocjena se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formira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na temelju prosjeka pisanog i usmenog dijela.</w:t>
            </w:r>
          </w:p>
          <w:p w:rsidR="0023305F" w:rsidRPr="001371BF" w:rsidRDefault="0023305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</w:p>
        </w:tc>
      </w:tr>
      <w:tr w:rsidR="0023305F" w:rsidRPr="00D0566D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3E3CBB">
              <w:rPr>
                <w:rFonts w:ascii="Times New Roman" w:hAnsi="Times New Roman" w:cs="Arial"/>
                <w:color w:val="000000"/>
                <w:sz w:val="20"/>
                <w:szCs w:val="20"/>
              </w:rPr>
              <w:t>Obvezna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literatura (dostupna u knjižnici i putem ostalih medija)</w:t>
            </w:r>
          </w:p>
        </w:tc>
        <w:tc>
          <w:tcPr>
            <w:tcW w:w="3815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2603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E3CBB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CBB" w:rsidRPr="00D0566D" w:rsidRDefault="003E3CB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3E3CB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901E65">
              <w:rPr>
                <w:rFonts w:ascii="Times New Roman" w:hAnsi="Times New Roman" w:cs="Arial"/>
                <w:color w:val="FF0000"/>
                <w:sz w:val="20"/>
                <w:szCs w:val="20"/>
              </w:rPr>
              <w:t>Letnić, R., Nastavni materijali s predavanja i vježbi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3E3CB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603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3CBB" w:rsidRPr="003E3CBB" w:rsidRDefault="003E3CB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proofErr w:type="spellStart"/>
            <w:r w:rsidRPr="003E3CBB"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23305F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23305F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Oporezivanje primitaka iz radnog odnosa (plaće), Ministarstvo financija Republike Hrvatske, Porezna Uprava.</w:t>
            </w:r>
            <w:r w:rsidR="003E3CBB" w:rsidRPr="00D0566D">
              <w:rPr>
                <w:rFonts w:ascii="Times New Roman" w:hAnsi="Times New Roman" w:cs="Arial"/>
                <w:sz w:val="20"/>
                <w:szCs w:val="20"/>
              </w:rPr>
              <w:t xml:space="preserve"> Dostupno putem interneta:  </w:t>
            </w:r>
          </w:p>
          <w:p w:rsidR="003E3CBB" w:rsidRDefault="00485838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hyperlink r:id="rId7" w:history="1">
              <w:r w:rsidR="003E3CBB" w:rsidRPr="003E6FE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http://www.porezna-uprava.hr/contentData/PDF%20Datoteke/Bro%C5%A1ure/Place_161nova.pdf</w:t>
              </w:r>
            </w:hyperlink>
          </w:p>
          <w:p w:rsidR="003E3CBB" w:rsidRPr="00D0566D" w:rsidRDefault="003E3CBB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:rsidR="0023305F" w:rsidRPr="00D0566D" w:rsidRDefault="0023305F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48583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05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3305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2603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3E3CBB" w:rsidRDefault="003E3CBB" w:rsidP="003E3CB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3E3CBB">
              <w:rPr>
                <w:rFonts w:ascii="Times New Roman" w:hAnsi="Times New Roman" w:cs="Arial"/>
                <w:color w:val="FF0000"/>
                <w:sz w:val="20"/>
                <w:szCs w:val="20"/>
              </w:rPr>
              <w:t>Internet</w:t>
            </w:r>
          </w:p>
        </w:tc>
      </w:tr>
      <w:tr w:rsidR="0023305F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3305F" w:rsidRPr="00D0566D" w:rsidRDefault="0023305F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23305F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Oporezivanje dohotka od kapitala.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Ministarstvo financija Republike Hrvatske, Porezna Uprava. </w:t>
            </w:r>
            <w:r w:rsidR="003E3CBB" w:rsidRPr="00D0566D">
              <w:rPr>
                <w:rFonts w:ascii="Times New Roman" w:hAnsi="Times New Roman" w:cs="Arial"/>
                <w:sz w:val="20"/>
                <w:szCs w:val="20"/>
              </w:rPr>
              <w:t xml:space="preserve">Dostupno putem interneta:  </w:t>
            </w:r>
          </w:p>
          <w:p w:rsidR="0023305F" w:rsidRDefault="00485838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hyperlink r:id="rId8" w:history="1">
              <w:r w:rsidR="003E3CBB" w:rsidRPr="003E6FE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http://www.porezna-uprava.hr/contentData/PDF%20Datoteke/Bro%C5%A1ure/Kapital__163.pdf</w:t>
              </w:r>
            </w:hyperlink>
          </w:p>
          <w:p w:rsidR="003E3CBB" w:rsidRPr="00D0566D" w:rsidRDefault="003E3CBB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23305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603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3305F" w:rsidRPr="00D0566D" w:rsidRDefault="003E3CB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3CBB">
              <w:rPr>
                <w:rFonts w:ascii="Times New Roman" w:hAnsi="Times New Roman" w:cs="Arial"/>
                <w:color w:val="FF0000"/>
                <w:sz w:val="20"/>
                <w:szCs w:val="20"/>
              </w:rPr>
              <w:t>Internet</w:t>
            </w:r>
          </w:p>
        </w:tc>
      </w:tr>
      <w:tr w:rsidR="003E3CBB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CBB" w:rsidRPr="00D0566D" w:rsidRDefault="003E3CB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18EE" w:rsidRDefault="005A18EE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:rsidR="003E3CBB" w:rsidRDefault="005A18EE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Janičev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Z.,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Supić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., J.: Porezni priručnik za građane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Ministarstvo financija, Porezna Uprava.</w:t>
            </w:r>
            <w:hyperlink r:id="rId9" w:history="1">
              <w:r w:rsidR="003E3CBB" w:rsidRPr="003E6FE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http://www.porezna-uprava.hr/contentData/PDF%20Datoteke/Bro%C5%A1ure/Gradani_2012.pdf</w:t>
              </w:r>
            </w:hyperlink>
          </w:p>
          <w:p w:rsidR="003E3CBB" w:rsidRPr="00D0566D" w:rsidRDefault="003E3CBB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3E3CB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603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3E3CB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3CBB">
              <w:rPr>
                <w:rFonts w:ascii="Times New Roman" w:hAnsi="Times New Roman" w:cs="Arial"/>
                <w:color w:val="FF0000"/>
                <w:sz w:val="20"/>
                <w:szCs w:val="20"/>
              </w:rPr>
              <w:t>Internet</w:t>
            </w:r>
          </w:p>
        </w:tc>
      </w:tr>
      <w:tr w:rsidR="003E3CBB" w:rsidRPr="00D0566D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CBB" w:rsidRPr="00D0566D" w:rsidRDefault="003E3CBB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815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18EE" w:rsidRDefault="005A18EE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Zakon o porezu na dohodak</w:t>
            </w:r>
          </w:p>
          <w:p w:rsidR="003E3CBB" w:rsidRDefault="00485838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hyperlink r:id="rId10" w:history="1">
              <w:r w:rsidR="003E3CBB" w:rsidRPr="003E6FE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http://propisi.porezna-uprava.hr/index_open.asp?idPropisa=1778&amp;jid=1&amp;ime=Zakon%20o%20porezu%20na%20dohodak</w:t>
              </w:r>
            </w:hyperlink>
          </w:p>
          <w:p w:rsidR="003E3CBB" w:rsidRPr="00D0566D" w:rsidRDefault="003E3CBB" w:rsidP="003E3CBB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3E3CB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2603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3E3CB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E3CBB">
              <w:rPr>
                <w:rFonts w:ascii="Times New Roman" w:hAnsi="Times New Roman" w:cs="Arial"/>
                <w:color w:val="FF0000"/>
                <w:sz w:val="20"/>
                <w:szCs w:val="20"/>
              </w:rPr>
              <w:t>Internet</w:t>
            </w:r>
          </w:p>
        </w:tc>
      </w:tr>
      <w:tr w:rsidR="003E3CBB" w:rsidRPr="00D0566D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CBB" w:rsidRPr="00D0566D" w:rsidRDefault="003E3CB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476992">
              <w:rPr>
                <w:rFonts w:ascii="Times New Roman" w:hAnsi="Times New Roman" w:cs="Arial"/>
                <w:color w:val="000000"/>
                <w:sz w:val="20"/>
                <w:szCs w:val="20"/>
              </w:rPr>
              <w:t>Dopunska</w:t>
            </w:r>
            <w:bookmarkStart w:id="0" w:name="_GoBack"/>
            <w:bookmarkEnd w:id="0"/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literatura </w:t>
            </w:r>
          </w:p>
          <w:p w:rsidR="003E3CBB" w:rsidRPr="00D0566D" w:rsidRDefault="003E3CB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18EE" w:rsidRDefault="005A18EE" w:rsidP="005A18EE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</w:rPr>
              <w:t>Ostali izvori:</w:t>
            </w:r>
          </w:p>
          <w:p w:rsidR="003E3CBB" w:rsidRPr="005A18EE" w:rsidRDefault="003E3CBB" w:rsidP="005A18EE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Pravilnik o porezu na dohodak (http://propisi.porezna-uprava.hr/index_open.asp?idPropisa=1953&amp;jid=1&amp;ime=Pravilnik%20o%20porezu%20na%20dohodak)</w:t>
            </w:r>
          </w:p>
          <w:p w:rsidR="003E3CBB" w:rsidRPr="00D0566D" w:rsidRDefault="003E3CB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Pravilnik o djelatnostima iznajmljivanja stanova, soba, i postelja putnicima i turistima te organiziranje kampova koje će se paušalno oporezivati, o visini paušalnog poreza i načinu plaćanja paušalnog poreza (http://www.porezna-uprava.hr/porezi/v_poreza24.asp?id=b02d1)</w:t>
            </w:r>
          </w:p>
          <w:p w:rsidR="003E3CBB" w:rsidRPr="00D0566D" w:rsidRDefault="003E3CB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Pravilnik o paušalnom oporezivanju samostalnih djelatnosti (http://propisi.porezna-uprava.hr/index_open.asp?idPropisa=2050&amp;jid=1&amp;ime=Pravilnik%20o%20pau%9Aalnom%20oporezivanju%20samostalnih%20djelatnosti)</w:t>
            </w:r>
          </w:p>
        </w:tc>
      </w:tr>
      <w:tr w:rsidR="003E3CBB" w:rsidRPr="00D0566D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CBB" w:rsidRPr="00D0566D" w:rsidRDefault="003E3CB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3E3CBB" w:rsidP="0023305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3E3CBB" w:rsidRPr="00D0566D" w:rsidRDefault="003E3CBB" w:rsidP="0023305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Nadzor izvođenja nastave (prodekan za nastavu)</w:t>
            </w:r>
          </w:p>
          <w:p w:rsidR="003E3CBB" w:rsidRPr="00D0566D" w:rsidRDefault="003E3CBB" w:rsidP="0023305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3E3CBB" w:rsidRPr="00D0566D" w:rsidRDefault="003E3CBB" w:rsidP="0023305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E3CBB" w:rsidRPr="00D0566D" w:rsidRDefault="003E3CBB" w:rsidP="0023305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3E3CBB" w:rsidRPr="00D0566D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E3CBB" w:rsidRPr="00D0566D" w:rsidRDefault="003E3CBB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E3CBB" w:rsidRPr="00D0566D" w:rsidRDefault="0048583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CBB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3E3CBB" w:rsidRPr="00D0566D">
              <w:rPr>
                <w:rFonts w:ascii="Times New Roman" w:eastAsia="Times New Roman" w:hAnsi="Arial" w:cs="Cambria Math"/>
                <w:noProof/>
                <w:sz w:val="20"/>
                <w:szCs w:val="20"/>
              </w:rPr>
              <w:t> </w:t>
            </w:r>
            <w:r w:rsidR="003E3CBB" w:rsidRPr="00D0566D">
              <w:rPr>
                <w:rFonts w:ascii="Times New Roman" w:eastAsia="Times New Roman" w:hAnsi="Arial" w:cs="Cambria Math"/>
                <w:noProof/>
                <w:sz w:val="20"/>
                <w:szCs w:val="20"/>
              </w:rPr>
              <w:t> </w:t>
            </w:r>
            <w:r w:rsidR="003E3CBB" w:rsidRPr="00D0566D">
              <w:rPr>
                <w:rFonts w:ascii="Times New Roman" w:eastAsia="Times New Roman" w:hAnsi="Arial" w:cs="Cambria Math"/>
                <w:noProof/>
                <w:sz w:val="20"/>
                <w:szCs w:val="20"/>
              </w:rPr>
              <w:t> </w:t>
            </w:r>
            <w:r w:rsidR="003E3CBB" w:rsidRPr="00D0566D">
              <w:rPr>
                <w:rFonts w:ascii="Times New Roman" w:eastAsia="Times New Roman" w:hAnsi="Arial" w:cs="Cambria Math"/>
                <w:noProof/>
                <w:sz w:val="20"/>
                <w:szCs w:val="20"/>
              </w:rPr>
              <w:t> </w:t>
            </w:r>
            <w:r w:rsidR="003E3CBB" w:rsidRPr="00D0566D">
              <w:rPr>
                <w:rFonts w:ascii="Times New Roman" w:eastAsia="Times New Roman" w:hAnsi="Arial" w:cs="Cambria Math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6334CF" w:rsidRDefault="006334CF"/>
    <w:sectPr w:rsidR="006334CF" w:rsidSect="0016215F"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295" w:rsidRDefault="00332295" w:rsidP="0023305F">
      <w:pPr>
        <w:spacing w:after="0" w:line="240" w:lineRule="auto"/>
      </w:pPr>
      <w:r>
        <w:separator/>
      </w:r>
    </w:p>
  </w:endnote>
  <w:endnote w:type="continuationSeparator" w:id="0">
    <w:p w:rsidR="00332295" w:rsidRDefault="00332295" w:rsidP="00233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295" w:rsidRDefault="00332295" w:rsidP="0023305F">
      <w:pPr>
        <w:spacing w:after="0" w:line="240" w:lineRule="auto"/>
      </w:pPr>
      <w:r>
        <w:separator/>
      </w:r>
    </w:p>
  </w:footnote>
  <w:footnote w:type="continuationSeparator" w:id="0">
    <w:p w:rsidR="00332295" w:rsidRDefault="00332295" w:rsidP="002330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A72D3"/>
    <w:multiLevelType w:val="hybridMultilevel"/>
    <w:tmpl w:val="001A4FBA"/>
    <w:lvl w:ilvl="0" w:tplc="442A516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756336"/>
    <w:multiLevelType w:val="hybridMultilevel"/>
    <w:tmpl w:val="D46CC98A"/>
    <w:lvl w:ilvl="0" w:tplc="5D4453F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">
    <w:nsid w:val="3E1621BA"/>
    <w:multiLevelType w:val="hybridMultilevel"/>
    <w:tmpl w:val="1A62748A"/>
    <w:lvl w:ilvl="0" w:tplc="442A516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EA3265"/>
    <w:multiLevelType w:val="hybridMultilevel"/>
    <w:tmpl w:val="F6408BE0"/>
    <w:lvl w:ilvl="0" w:tplc="71985E6C">
      <w:start w:val="1"/>
      <w:numFmt w:val="decimal"/>
      <w:lvlText w:val="%1."/>
      <w:lvlJc w:val="left"/>
      <w:pPr>
        <w:ind w:left="643" w:hanging="360"/>
      </w:pPr>
      <w:rPr>
        <w:rFonts w:ascii="Arial" w:hAnsi="Arial" w:cs="Times New Roman" w:hint="default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4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05F"/>
    <w:rsid w:val="001371BF"/>
    <w:rsid w:val="0016215F"/>
    <w:rsid w:val="001D57AB"/>
    <w:rsid w:val="001F50D6"/>
    <w:rsid w:val="0023305F"/>
    <w:rsid w:val="00277CA6"/>
    <w:rsid w:val="00295D17"/>
    <w:rsid w:val="00332295"/>
    <w:rsid w:val="0034707C"/>
    <w:rsid w:val="003B7CF1"/>
    <w:rsid w:val="003E0511"/>
    <w:rsid w:val="003E3CBB"/>
    <w:rsid w:val="00425FF6"/>
    <w:rsid w:val="00476992"/>
    <w:rsid w:val="00485838"/>
    <w:rsid w:val="004A185A"/>
    <w:rsid w:val="005A18EE"/>
    <w:rsid w:val="006055A3"/>
    <w:rsid w:val="006334CF"/>
    <w:rsid w:val="006778B5"/>
    <w:rsid w:val="006C1A85"/>
    <w:rsid w:val="007321E1"/>
    <w:rsid w:val="008248A5"/>
    <w:rsid w:val="008F71CF"/>
    <w:rsid w:val="0095274E"/>
    <w:rsid w:val="0099319E"/>
    <w:rsid w:val="00BF71CE"/>
    <w:rsid w:val="00C40656"/>
    <w:rsid w:val="00C9360D"/>
    <w:rsid w:val="00CD4E49"/>
    <w:rsid w:val="00D63BB4"/>
    <w:rsid w:val="00DB229D"/>
    <w:rsid w:val="00E320F7"/>
    <w:rsid w:val="00E71BBF"/>
    <w:rsid w:val="00FD2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05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23305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23305F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330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33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305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233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305F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3E3C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05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23305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23305F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2330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33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305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233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305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ezna-uprava.hr/contentData/PDF%20Datoteke/Bro%C5%A1ure/Kapital__163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rezna-uprava.hr/contentData/PDF%20Datoteke/Bro%C5%A1ure/Place_161nova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propisi.porezna-uprava.hr/index_open.asp?idPropisa=1778&amp;jid=1&amp;ime=Zakon%20o%20porezu%20na%20dohodak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www.porezna-uprava.hr/contentData/PDF%20Datoteke/Bro%C5%A1ure/Gradani_201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2018-06-07T10:34:00Z</dcterms:created>
  <dcterms:modified xsi:type="dcterms:W3CDTF">2018-06-07T10:34:00Z</dcterms:modified>
</cp:coreProperties>
</file>